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2C6165B6"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宮古島商工会議所での「確認書」受付は</w:t>
      </w:r>
      <w:r w:rsidRPr="006905EC">
        <w:rPr>
          <w:rFonts w:asciiTheme="majorEastAsia" w:eastAsiaTheme="majorEastAsia" w:hAnsiTheme="majorEastAsia" w:cs="Times New Roman" w:hint="eastAsia"/>
          <w:b/>
          <w:color w:val="FF0000"/>
          <w:sz w:val="22"/>
          <w:szCs w:val="32"/>
          <w:u w:val="single"/>
        </w:rPr>
        <w:t>令和</w:t>
      </w:r>
      <w:r w:rsidR="000634C5">
        <w:rPr>
          <w:rFonts w:asciiTheme="majorEastAsia" w:eastAsiaTheme="majorEastAsia" w:hAnsiTheme="majorEastAsia" w:cs="Times New Roman" w:hint="eastAsia"/>
          <w:b/>
          <w:color w:val="FF0000"/>
          <w:sz w:val="22"/>
          <w:szCs w:val="32"/>
          <w:u w:val="single"/>
        </w:rPr>
        <w:t>４</w:t>
      </w:r>
      <w:r w:rsidRPr="006905EC">
        <w:rPr>
          <w:rFonts w:asciiTheme="majorEastAsia" w:eastAsiaTheme="majorEastAsia" w:hAnsiTheme="majorEastAsia" w:cs="Times New Roman" w:hint="eastAsia"/>
          <w:b/>
          <w:color w:val="FF0000"/>
          <w:sz w:val="22"/>
          <w:szCs w:val="32"/>
          <w:u w:val="single"/>
        </w:rPr>
        <w:t>年</w:t>
      </w:r>
      <w:r w:rsidR="00B3096C">
        <w:rPr>
          <w:rFonts w:asciiTheme="majorEastAsia" w:eastAsiaTheme="majorEastAsia" w:hAnsiTheme="majorEastAsia" w:cs="Times New Roman" w:hint="eastAsia"/>
          <w:b/>
          <w:color w:val="FF0000"/>
          <w:sz w:val="22"/>
          <w:szCs w:val="32"/>
          <w:u w:val="single"/>
        </w:rPr>
        <w:t>６</w:t>
      </w:r>
      <w:r w:rsidRPr="006905EC">
        <w:rPr>
          <w:rFonts w:asciiTheme="majorEastAsia" w:eastAsiaTheme="majorEastAsia" w:hAnsiTheme="majorEastAsia" w:cs="Times New Roman" w:hint="eastAsia"/>
          <w:b/>
          <w:color w:val="FF0000"/>
          <w:sz w:val="22"/>
          <w:szCs w:val="32"/>
          <w:u w:val="single"/>
        </w:rPr>
        <w:t>月</w:t>
      </w:r>
      <w:r w:rsidR="00B3096C">
        <w:rPr>
          <w:rFonts w:asciiTheme="majorEastAsia" w:eastAsiaTheme="majorEastAsia" w:hAnsiTheme="majorEastAsia" w:cs="Times New Roman" w:hint="eastAsia"/>
          <w:b/>
          <w:color w:val="FF0000"/>
          <w:sz w:val="22"/>
          <w:szCs w:val="32"/>
          <w:u w:val="single"/>
        </w:rPr>
        <w:t>２２</w:t>
      </w:r>
      <w:r w:rsidRPr="006905EC">
        <w:rPr>
          <w:rFonts w:asciiTheme="majorEastAsia" w:eastAsiaTheme="majorEastAsia" w:hAnsiTheme="majorEastAsia" w:cs="Times New Roman" w:hint="eastAsia"/>
          <w:b/>
          <w:color w:val="FF0000"/>
          <w:sz w:val="22"/>
          <w:szCs w:val="32"/>
          <w:u w:val="single"/>
        </w:rPr>
        <w:t>日（</w:t>
      </w:r>
      <w:r w:rsidR="00B3096C">
        <w:rPr>
          <w:rFonts w:asciiTheme="majorEastAsia" w:eastAsiaTheme="majorEastAsia" w:hAnsiTheme="majorEastAsia" w:cs="Times New Roman" w:hint="eastAsia"/>
          <w:b/>
          <w:color w:val="FF0000"/>
          <w:sz w:val="22"/>
          <w:szCs w:val="32"/>
          <w:u w:val="single"/>
        </w:rPr>
        <w:t>水</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15288B72"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B3096C">
        <w:rPr>
          <w:rFonts w:cs="Times New Roman" w:hint="eastAsia"/>
          <w:b/>
          <w:bCs/>
          <w:sz w:val="20"/>
          <w:szCs w:val="20"/>
        </w:rPr>
        <w:t>6</w:t>
      </w:r>
      <w:r w:rsidRPr="00860D03">
        <w:rPr>
          <w:rFonts w:cs="Times New Roman" w:hint="eastAsia"/>
          <w:b/>
          <w:bCs/>
          <w:sz w:val="20"/>
          <w:szCs w:val="20"/>
        </w:rPr>
        <w:t>回）</w:t>
      </w:r>
      <w:r w:rsidRPr="003D5FC8">
        <w:rPr>
          <w:rFonts w:cs="Times New Roman" w:hint="eastAsia"/>
          <w:b/>
          <w:bCs/>
          <w:color w:val="FF0000"/>
          <w:sz w:val="20"/>
          <w:szCs w:val="20"/>
          <w:u w:val="single"/>
        </w:rPr>
        <w:t>P</w:t>
      </w:r>
      <w:r w:rsidR="00B3096C">
        <w:rPr>
          <w:rFonts w:cs="Times New Roman" w:hint="eastAsia"/>
          <w:b/>
          <w:bCs/>
          <w:color w:val="FF0000"/>
          <w:sz w:val="20"/>
          <w:szCs w:val="20"/>
          <w:u w:val="single"/>
        </w:rPr>
        <w:t>31</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trPr>
          <w:trHeight w:val="5515"/>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35045FEF" w14:textId="6BB7B4D5" w:rsidR="00313079" w:rsidRPr="006B0735" w:rsidRDefault="00313079" w:rsidP="006B0735">
            <w:pPr>
              <w:pStyle w:val="af1"/>
              <w:ind w:leftChars="100" w:left="240" w:rightChars="100" w:right="240" w:firstLineChars="0" w:firstLine="0"/>
              <w:rPr>
                <w:rFonts w:asciiTheme="majorEastAsia" w:eastAsiaTheme="majorEastAsia" w:hAnsiTheme="majorEastAsia"/>
              </w:rPr>
            </w:pPr>
            <w:r w:rsidRPr="006B0735">
              <w:rPr>
                <w:rFonts w:asciiTheme="majorEastAsia" w:eastAsiaTheme="majorEastAsia" w:hAnsiTheme="majorEastAsia" w:hint="eastAsia"/>
              </w:rPr>
              <w:t>本事業は、</w:t>
            </w:r>
            <w:r w:rsidRPr="006B0735">
              <w:rPr>
                <w:rFonts w:asciiTheme="majorEastAsia" w:eastAsiaTheme="majorEastAsia" w:hAnsiTheme="majorEastAsia" w:hint="eastAsia"/>
                <w:u w:val="thick"/>
              </w:rPr>
              <w:t>事業終了後３～５年で、付加価値額の年率平均</w:t>
            </w:r>
            <w:r w:rsidRPr="006B0735">
              <w:rPr>
                <w:rFonts w:asciiTheme="majorEastAsia" w:eastAsiaTheme="majorEastAsia" w:hAnsiTheme="majorEastAsia"/>
                <w:u w:val="thick"/>
              </w:rPr>
              <w:t>3.0％（【グローバルV字回復枠】については5.0％）以上</w:t>
            </w:r>
            <w:r w:rsidRPr="006B0735">
              <w:rPr>
                <w:rFonts w:asciiTheme="majorEastAsia" w:eastAsiaTheme="majorEastAsia" w:hAnsiTheme="majorEastAsia"/>
              </w:rPr>
              <w:t>、又は</w:t>
            </w:r>
            <w:r w:rsidRPr="006B0735">
              <w:rPr>
                <w:rFonts w:asciiTheme="majorEastAsia" w:eastAsiaTheme="majorEastAsia" w:hAnsiTheme="majorEastAsia"/>
                <w:u w:val="thick"/>
              </w:rPr>
              <w:t>従業員一人当たり付加価値額の年率平均3.0％（【グローバルV字回復枠】については5.0％）以上の増加</w:t>
            </w:r>
            <w:r w:rsidRPr="006B0735">
              <w:rPr>
                <w:rFonts w:asciiTheme="majorEastAsia" w:eastAsiaTheme="majorEastAsia" w:hAnsiTheme="majorEastAsia"/>
              </w:rPr>
              <w:t>を見込む事業計画を策定</w:t>
            </w:r>
            <w:r w:rsidR="00A42379" w:rsidRPr="006B0735">
              <w:rPr>
                <w:rFonts w:asciiTheme="majorEastAsia" w:eastAsiaTheme="majorEastAsia" w:hAnsiTheme="majorEastAsia" w:hint="eastAsia"/>
              </w:rPr>
              <w:t>していただく</w:t>
            </w:r>
            <w:r w:rsidRPr="006B0735">
              <w:rPr>
                <w:rFonts w:asciiTheme="majorEastAsia" w:eastAsiaTheme="majorEastAsia" w:hAnsiTheme="majorEastAsia"/>
              </w:rPr>
              <w:t>必要があります。</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B3096C">
                    <w:rPr>
                      <w:rFonts w:asciiTheme="majorEastAsia" w:eastAsiaTheme="majorEastAsia" w:hAnsiTheme="majorEastAsia" w:cs="Times New Roman" w:hint="eastAsia"/>
                      <w:bCs/>
                      <w:w w:val="78"/>
                      <w:sz w:val="20"/>
                      <w:szCs w:val="20"/>
                    </w:rPr>
                    <w:t>付加価値額</w:t>
                  </w:r>
                  <w:r w:rsidRPr="00B3096C">
                    <w:rPr>
                      <w:rFonts w:asciiTheme="majorEastAsia" w:eastAsiaTheme="majorEastAsia" w:hAnsiTheme="majorEastAsia" w:cs="Times New Roman"/>
                      <w:bCs/>
                      <w:w w:val="78"/>
                      <w:sz w:val="20"/>
                      <w:szCs w:val="20"/>
                    </w:rPr>
                    <w:t>(②+④+⑤</w:t>
                  </w:r>
                  <w:r w:rsidRPr="00B3096C">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3711B88E" w14:textId="702C98BC"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w:t>
            </w:r>
            <w:r w:rsidR="00BD0CC5">
              <w:rPr>
                <w:rFonts w:asciiTheme="majorEastAsia" w:eastAsiaTheme="majorEastAsia" w:hAnsiTheme="majorEastAsia" w:cs="Times New Roman" w:hint="eastAsia"/>
                <w:sz w:val="18"/>
                <w:szCs w:val="22"/>
              </w:rPr>
              <w:t>（補助事業終了月の属する決算年度）</w:t>
            </w:r>
            <w:r w:rsidRPr="00533A72">
              <w:rPr>
                <w:rFonts w:asciiTheme="majorEastAsia" w:eastAsiaTheme="majorEastAsia" w:hAnsiTheme="majorEastAsia" w:cs="Times New Roman" w:hint="eastAsia"/>
                <w:sz w:val="18"/>
                <w:szCs w:val="22"/>
              </w:rPr>
              <w:t>の見込み値を入力してください。</w:t>
            </w:r>
          </w:p>
          <w:p w14:paraId="7C28FC35" w14:textId="77777777" w:rsidR="00B55913"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61E6CF3C" w14:textId="1804A9F9" w:rsidR="00BD0CC5" w:rsidRPr="00533A72" w:rsidRDefault="00BD0CC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※「直近の決算年度」と「基準年度」は補助事業終了年度次第では連続しないことがありますが、差し支えありません。</w:t>
            </w:r>
          </w:p>
        </w:tc>
      </w:tr>
    </w:tbl>
    <w:p w14:paraId="66D5F7B4" w14:textId="77777777" w:rsidR="00E6178A" w:rsidRPr="00533A72" w:rsidRDefault="00E6178A">
      <w:pPr>
        <w:rPr>
          <w:rFonts w:asciiTheme="majorEastAsia" w:eastAsiaTheme="majorEastAsia" w:hAnsiTheme="majorEastAsia" w:cs="Times New Roman"/>
          <w:sz w:val="21"/>
          <w:szCs w:val="22"/>
        </w:rPr>
      </w:pPr>
    </w:p>
    <w:p w14:paraId="0CC0B3DD" w14:textId="1633E06B" w:rsidR="000B4561" w:rsidRDefault="000B456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F352DE1" w14:textId="162DF5BF" w:rsidR="00B44DFF" w:rsidRDefault="00B44DFF">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C394E2A" w14:textId="3D78A0C9" w:rsidR="00B44DFF" w:rsidRDefault="00B44DFF">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7BD1EDA" w14:textId="0D557740" w:rsidR="00B44DFF" w:rsidRDefault="00B44DFF">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2CC94DD" w14:textId="77777777" w:rsidR="00B44DFF" w:rsidRDefault="00B44DFF">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01998B8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20553AB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4896A541" w14:textId="77777777" w:rsidTr="00AE0B47">
        <w:trPr>
          <w:trHeight w:val="388"/>
        </w:trPr>
        <w:tc>
          <w:tcPr>
            <w:tcW w:w="2093" w:type="dxa"/>
            <w:tcBorders>
              <w:top w:val="dashed" w:sz="4" w:space="0" w:color="auto"/>
              <w:bottom w:val="dashed" w:sz="4" w:space="0" w:color="auto"/>
            </w:tcBorders>
            <w:vAlign w:val="center"/>
          </w:tcPr>
          <w:p w14:paraId="7E2330FD"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271B507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DEA0D0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77031A7C"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D1C0FCA"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DC0856" w14:paraId="1B89470C" w14:textId="77777777" w:rsidTr="00AE0B47">
        <w:trPr>
          <w:trHeight w:val="388"/>
        </w:trPr>
        <w:tc>
          <w:tcPr>
            <w:tcW w:w="2093" w:type="dxa"/>
            <w:tcBorders>
              <w:top w:val="dashed" w:sz="4" w:space="0" w:color="auto"/>
              <w:bottom w:val="dashed" w:sz="4" w:space="0" w:color="auto"/>
            </w:tcBorders>
            <w:vAlign w:val="center"/>
          </w:tcPr>
          <w:p w14:paraId="564E858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海外旅費※</w:t>
            </w:r>
            <w:r w:rsidR="00AE0B47">
              <w:rPr>
                <w:rFonts w:cs="Century" w:hint="eastAsia"/>
                <w:spacing w:val="-4"/>
                <w:w w:val="95"/>
                <w:sz w:val="17"/>
                <w:szCs w:val="17"/>
              </w:rPr>
              <w:t>２</w:t>
            </w:r>
          </w:p>
        </w:tc>
        <w:tc>
          <w:tcPr>
            <w:tcW w:w="1793" w:type="dxa"/>
            <w:gridSpan w:val="2"/>
            <w:tcBorders>
              <w:top w:val="dashed" w:sz="4" w:space="0" w:color="auto"/>
              <w:bottom w:val="dashed" w:sz="4" w:space="0" w:color="auto"/>
            </w:tcBorders>
            <w:vAlign w:val="center"/>
          </w:tcPr>
          <w:p w14:paraId="1D6580D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91DC3" w14:paraId="61948241" w14:textId="77777777" w:rsidTr="00DD02C3">
        <w:trPr>
          <w:trHeight w:val="425"/>
        </w:trPr>
        <w:tc>
          <w:tcPr>
            <w:tcW w:w="2093" w:type="dxa"/>
            <w:vAlign w:val="center"/>
          </w:tcPr>
          <w:p w14:paraId="7C77558C" w14:textId="77777777" w:rsidR="00A91DC3" w:rsidRDefault="00A91DC3"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A91DC3" w:rsidRPr="00A91DC3" w:rsidRDefault="00A91DC3" w:rsidP="00A91DC3">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A91DC3" w:rsidRP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A91DC3" w:rsidRDefault="00A91DC3" w:rsidP="00A91DC3">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A91DC3" w:rsidRDefault="00A91DC3" w:rsidP="00DD02C3">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A91DC3" w:rsidRDefault="00A91DC3" w:rsidP="00DD02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FC3E643" w:rsidR="00AE0B47" w:rsidRDefault="00AE0B47">
      <w:pPr>
        <w:spacing w:line="240" w:lineRule="exact"/>
        <w:rPr>
          <w:sz w:val="18"/>
          <w:szCs w:val="18"/>
        </w:rPr>
      </w:pPr>
      <w:r>
        <w:rPr>
          <w:rFonts w:hint="eastAsia"/>
          <w:sz w:val="18"/>
          <w:szCs w:val="18"/>
        </w:rPr>
        <w:t>※１　購入する機械装置の運搬費については、機械装置</w:t>
      </w:r>
      <w:r w:rsidR="00B5294F">
        <w:rPr>
          <w:rFonts w:hint="eastAsia"/>
          <w:sz w:val="18"/>
          <w:szCs w:val="18"/>
        </w:rPr>
        <w:t>・</w:t>
      </w:r>
      <w:r>
        <w:rPr>
          <w:rFonts w:hint="eastAsia"/>
          <w:sz w:val="18"/>
          <w:szCs w:val="18"/>
        </w:rPr>
        <w:t>システム構築費に含めることとします。</w:t>
      </w:r>
    </w:p>
    <w:p w14:paraId="7133BEE7" w14:textId="1D7F6B2C" w:rsidR="00B5294F" w:rsidRDefault="00F465AD">
      <w:pPr>
        <w:spacing w:line="240" w:lineRule="exact"/>
        <w:rPr>
          <w:sz w:val="18"/>
          <w:szCs w:val="18"/>
        </w:rPr>
      </w:pPr>
      <w:r>
        <w:rPr>
          <w:rFonts w:hint="eastAsia"/>
          <w:sz w:val="18"/>
          <w:szCs w:val="18"/>
        </w:rPr>
        <w:t>※</w:t>
      </w:r>
      <w:r w:rsidR="00AE0B47">
        <w:rPr>
          <w:rFonts w:hint="eastAsia"/>
          <w:sz w:val="18"/>
          <w:szCs w:val="18"/>
        </w:rPr>
        <w:t>２</w:t>
      </w:r>
      <w:r>
        <w:rPr>
          <w:rFonts w:hint="eastAsia"/>
          <w:sz w:val="18"/>
          <w:szCs w:val="18"/>
        </w:rPr>
        <w:t xml:space="preserve">　海外旅費については、卒業枠・グローバルＶ字回復枠の応募申請に限り、補助対象経費となります。</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11"/>
  </w:num>
  <w:num w:numId="7">
    <w:abstractNumId w:val="10"/>
  </w:num>
  <w:num w:numId="8">
    <w:abstractNumId w:val="12"/>
  </w:num>
  <w:num w:numId="9">
    <w:abstractNumId w:val="7"/>
  </w:num>
  <w:num w:numId="10">
    <w:abstractNumId w:val="4"/>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B1C15"/>
    <w:rsid w:val="002D625C"/>
    <w:rsid w:val="00303CBB"/>
    <w:rsid w:val="00313079"/>
    <w:rsid w:val="00333F71"/>
    <w:rsid w:val="00352A28"/>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B08FA"/>
    <w:rsid w:val="008B4E9D"/>
    <w:rsid w:val="008C2D2D"/>
    <w:rsid w:val="008C3CC9"/>
    <w:rsid w:val="008C4C5B"/>
    <w:rsid w:val="008C720F"/>
    <w:rsid w:val="008E5019"/>
    <w:rsid w:val="008F1A9A"/>
    <w:rsid w:val="00935234"/>
    <w:rsid w:val="00943959"/>
    <w:rsid w:val="00967873"/>
    <w:rsid w:val="0097216C"/>
    <w:rsid w:val="00995A70"/>
    <w:rsid w:val="009F23C4"/>
    <w:rsid w:val="00A153A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33CC"/>
    <w:rsid w:val="00BE65E6"/>
    <w:rsid w:val="00BF59DC"/>
    <w:rsid w:val="00C20FB7"/>
    <w:rsid w:val="00C47B49"/>
    <w:rsid w:val="00C72482"/>
    <w:rsid w:val="00C91A4D"/>
    <w:rsid w:val="00CA6818"/>
    <w:rsid w:val="00CC723A"/>
    <w:rsid w:val="00CF7322"/>
    <w:rsid w:val="00D51B26"/>
    <w:rsid w:val="00D60F2B"/>
    <w:rsid w:val="00D83875"/>
    <w:rsid w:val="00D900A1"/>
    <w:rsid w:val="00DB71B3"/>
    <w:rsid w:val="00DC0856"/>
    <w:rsid w:val="00DD02C3"/>
    <w:rsid w:val="00DE53F0"/>
    <w:rsid w:val="00DF487D"/>
    <w:rsid w:val="00DF6232"/>
    <w:rsid w:val="00E00A00"/>
    <w:rsid w:val="00E02F5E"/>
    <w:rsid w:val="00E517EF"/>
    <w:rsid w:val="00E53D37"/>
    <w:rsid w:val="00E540DC"/>
    <w:rsid w:val="00E54178"/>
    <w:rsid w:val="00E60A08"/>
    <w:rsid w:val="00E6178A"/>
    <w:rsid w:val="00E632E2"/>
    <w:rsid w:val="00E81C51"/>
    <w:rsid w:val="00EA61B9"/>
    <w:rsid w:val="00EC1B67"/>
    <w:rsid w:val="00EC5095"/>
    <w:rsid w:val="00EC6249"/>
    <w:rsid w:val="00EC71D0"/>
    <w:rsid w:val="00F017A0"/>
    <w:rsid w:val="00F465AD"/>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2.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3.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2021-05-21T01:35:00Z</cp:lastPrinted>
  <dcterms:created xsi:type="dcterms:W3CDTF">2021-08-05T04:21:00Z</dcterms:created>
  <dcterms:modified xsi:type="dcterms:W3CDTF">2022-04-05T04:36:00Z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